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C3D46" w:rsidRDefault="0022609E">
      <w:pPr>
        <w:pStyle w:val="Normal1"/>
        <w:spacing w:after="0" w:line="240" w:lineRule="auto"/>
        <w:rPr>
          <w:rFonts w:ascii="Arial" w:eastAsia="Arial" w:hAnsi="Arial" w:cs="Arial"/>
        </w:rPr>
      </w:pPr>
      <w:bookmarkStart w:id="0" w:name="_GoBack"/>
      <w:r>
        <w:rPr>
          <w:noProof/>
        </w:rPr>
        <w:drawing>
          <wp:inline distT="0" distB="0" distL="0" distR="0">
            <wp:extent cx="762635" cy="810895"/>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5"/>
                    <a:srcRect/>
                    <a:stretch>
                      <a:fillRect/>
                    </a:stretch>
                  </pic:blipFill>
                  <pic:spPr>
                    <a:xfrm>
                      <a:off x="0" y="0"/>
                      <a:ext cx="762635" cy="810895"/>
                    </a:xfrm>
                    <a:prstGeom prst="rect">
                      <a:avLst/>
                    </a:prstGeom>
                    <a:ln/>
                  </pic:spPr>
                </pic:pic>
              </a:graphicData>
            </a:graphic>
          </wp:inline>
        </w:drawing>
      </w:r>
      <w:r>
        <w:t xml:space="preserve">                                           </w:t>
      </w:r>
      <w:r>
        <w:rPr>
          <w:noProof/>
        </w:rPr>
        <w:drawing>
          <wp:inline distT="0" distB="0" distL="0" distR="0">
            <wp:extent cx="857250" cy="857250"/>
            <wp:effectExtent l="0" t="0" r="0" b="0"/>
            <wp:docPr id="3" name="image05.png" descr="WOJEWÓDZKA I MIEJSKA BIBLIOTEKA PUBLICZNA w Gdańsku"/>
            <wp:cNvGraphicFramePr/>
            <a:graphic xmlns:a="http://schemas.openxmlformats.org/drawingml/2006/main">
              <a:graphicData uri="http://schemas.openxmlformats.org/drawingml/2006/picture">
                <pic:pic xmlns:pic="http://schemas.openxmlformats.org/drawingml/2006/picture">
                  <pic:nvPicPr>
                    <pic:cNvPr id="0" name="image05.png" descr="WOJEWÓDZKA I MIEJSKA BIBLIOTEKA PUBLICZNA w Gdańsku"/>
                    <pic:cNvPicPr preferRelativeResize="0"/>
                  </pic:nvPicPr>
                  <pic:blipFill>
                    <a:blip r:embed="rId6"/>
                    <a:srcRect/>
                    <a:stretch>
                      <a:fillRect/>
                    </a:stretch>
                  </pic:blipFill>
                  <pic:spPr>
                    <a:xfrm>
                      <a:off x="0" y="0"/>
                      <a:ext cx="857250" cy="857250"/>
                    </a:xfrm>
                    <a:prstGeom prst="rect">
                      <a:avLst/>
                    </a:prstGeom>
                    <a:ln/>
                  </pic:spPr>
                </pic:pic>
              </a:graphicData>
            </a:graphic>
          </wp:inline>
        </w:drawing>
      </w:r>
      <w:r>
        <w:t xml:space="preserve">                              </w:t>
      </w:r>
      <w:r>
        <w:rPr>
          <w:noProof/>
        </w:rPr>
        <w:drawing>
          <wp:inline distT="0" distB="0" distL="0" distR="0">
            <wp:extent cx="1971675" cy="590550"/>
            <wp:effectExtent l="0" t="0" r="0" b="0"/>
            <wp:docPr id="2" name="image04.jpg" descr="C:\Users\mmering1\AppData\Local\Microsoft\Windows\INetCache\Content.Outlook\U7E504M7\ESC.jpg"/>
            <wp:cNvGraphicFramePr/>
            <a:graphic xmlns:a="http://schemas.openxmlformats.org/drawingml/2006/main">
              <a:graphicData uri="http://schemas.openxmlformats.org/drawingml/2006/picture">
                <pic:pic xmlns:pic="http://schemas.openxmlformats.org/drawingml/2006/picture">
                  <pic:nvPicPr>
                    <pic:cNvPr id="0" name="image04.jpg" descr="C:\Users\mmering1\AppData\Local\Microsoft\Windows\INetCache\Content.Outlook\U7E504M7\ESC.jpg"/>
                    <pic:cNvPicPr preferRelativeResize="0"/>
                  </pic:nvPicPr>
                  <pic:blipFill>
                    <a:blip r:embed="rId7"/>
                    <a:srcRect/>
                    <a:stretch>
                      <a:fillRect/>
                    </a:stretch>
                  </pic:blipFill>
                  <pic:spPr>
                    <a:xfrm>
                      <a:off x="0" y="0"/>
                      <a:ext cx="1971675" cy="590550"/>
                    </a:xfrm>
                    <a:prstGeom prst="rect">
                      <a:avLst/>
                    </a:prstGeom>
                    <a:ln/>
                  </pic:spPr>
                </pic:pic>
              </a:graphicData>
            </a:graphic>
          </wp:inline>
        </w:drawing>
      </w:r>
    </w:p>
    <w:p w:rsidR="009C3D46" w:rsidRDefault="009C3D46">
      <w:pPr>
        <w:pStyle w:val="Normal1"/>
        <w:spacing w:after="0" w:line="240" w:lineRule="auto"/>
        <w:rPr>
          <w:rFonts w:ascii="Arial" w:eastAsia="Arial" w:hAnsi="Arial" w:cs="Arial"/>
        </w:rPr>
      </w:pPr>
    </w:p>
    <w:p w:rsidR="0022609E" w:rsidRDefault="0022609E">
      <w:pPr>
        <w:pStyle w:val="Normal1"/>
        <w:spacing w:after="0" w:line="240" w:lineRule="auto"/>
        <w:rPr>
          <w:rFonts w:ascii="Arial" w:eastAsia="Arial" w:hAnsi="Arial" w:cs="Arial"/>
        </w:rPr>
      </w:pPr>
    </w:p>
    <w:p w:rsidR="009C3D46" w:rsidRPr="0022609E" w:rsidRDefault="0022609E">
      <w:pPr>
        <w:pStyle w:val="Normal1"/>
        <w:spacing w:after="0" w:line="240" w:lineRule="auto"/>
        <w:rPr>
          <w:rFonts w:ascii="Arial" w:eastAsia="Arial" w:hAnsi="Arial" w:cs="Arial"/>
          <w:b/>
          <w:sz w:val="28"/>
          <w:szCs w:val="28"/>
        </w:rPr>
      </w:pPr>
      <w:r w:rsidRPr="0022609E">
        <w:rPr>
          <w:rFonts w:ascii="Arial" w:eastAsia="Arial" w:hAnsi="Arial" w:cs="Arial"/>
          <w:b/>
          <w:sz w:val="28"/>
          <w:szCs w:val="28"/>
        </w:rPr>
        <w:t>Call for Papers: Satellite Meeting</w:t>
      </w:r>
    </w:p>
    <w:p w:rsidR="009C3D46" w:rsidRPr="0022609E" w:rsidRDefault="0022609E">
      <w:pPr>
        <w:pStyle w:val="Normal1"/>
        <w:spacing w:after="0" w:line="360" w:lineRule="auto"/>
        <w:rPr>
          <w:rFonts w:ascii="Arial" w:eastAsia="Arial" w:hAnsi="Arial" w:cs="Arial"/>
          <w:b/>
          <w:sz w:val="28"/>
          <w:szCs w:val="28"/>
          <w:highlight w:val="white"/>
        </w:rPr>
      </w:pPr>
      <w:r w:rsidRPr="0022609E">
        <w:rPr>
          <w:rFonts w:ascii="Arial" w:eastAsia="Arial" w:hAnsi="Arial" w:cs="Arial"/>
          <w:b/>
          <w:sz w:val="28"/>
          <w:szCs w:val="28"/>
        </w:rPr>
        <w:t xml:space="preserve">Theme:  </w:t>
      </w:r>
      <w:r w:rsidRPr="0022609E">
        <w:rPr>
          <w:rFonts w:ascii="Arial" w:eastAsia="Arial" w:hAnsi="Arial" w:cs="Arial"/>
          <w:b/>
          <w:sz w:val="28"/>
          <w:szCs w:val="28"/>
          <w:highlight w:val="white"/>
        </w:rPr>
        <w:t>Open Access: Action Required</w:t>
      </w:r>
    </w:p>
    <w:p w:rsidR="0022609E" w:rsidRPr="0022609E" w:rsidRDefault="0022609E">
      <w:pPr>
        <w:pStyle w:val="Normal1"/>
        <w:spacing w:after="0" w:line="360" w:lineRule="auto"/>
        <w:rPr>
          <w:rFonts w:ascii="Arial" w:eastAsia="Arial" w:hAnsi="Arial" w:cs="Arial"/>
          <w:b/>
          <w:sz w:val="24"/>
          <w:szCs w:val="24"/>
          <w:highlight w:val="white"/>
        </w:rPr>
      </w:pPr>
    </w:p>
    <w:p w:rsidR="009C3D46" w:rsidRDefault="0022609E">
      <w:pPr>
        <w:pStyle w:val="Normal1"/>
        <w:spacing w:after="0" w:line="240" w:lineRule="auto"/>
        <w:rPr>
          <w:rFonts w:ascii="Arial" w:eastAsia="Arial" w:hAnsi="Arial" w:cs="Arial"/>
        </w:rPr>
      </w:pPr>
      <w:r w:rsidRPr="0022609E">
        <w:rPr>
          <w:rFonts w:ascii="Arial" w:eastAsia="Arial" w:hAnsi="Arial" w:cs="Arial"/>
          <w:b/>
          <w:i/>
        </w:rPr>
        <w:t>Sponsored by:</w:t>
      </w:r>
      <w:r>
        <w:rPr>
          <w:rFonts w:ascii="Arial" w:eastAsia="Arial" w:hAnsi="Arial" w:cs="Arial"/>
        </w:rPr>
        <w:t xml:space="preserve">  </w:t>
      </w:r>
      <w:hyperlink r:id="rId8">
        <w:r>
          <w:rPr>
            <w:rFonts w:ascii="Arial" w:eastAsia="Arial" w:hAnsi="Arial" w:cs="Arial"/>
            <w:i/>
          </w:rPr>
          <w:t>IFLA Section on</w:t>
        </w:r>
      </w:hyperlink>
      <w:hyperlink r:id="rId9">
        <w:r>
          <w:rPr>
            <w:rFonts w:ascii="Arial" w:eastAsia="Arial" w:hAnsi="Arial" w:cs="Arial"/>
          </w:rPr>
          <w:t xml:space="preserve"> </w:t>
        </w:r>
      </w:hyperlink>
      <w:hyperlink r:id="rId10">
        <w:r>
          <w:rPr>
            <w:rFonts w:ascii="Arial" w:eastAsia="Arial" w:hAnsi="Arial" w:cs="Arial"/>
            <w:i/>
          </w:rPr>
          <w:t>Serials and Other Continuing Resources</w:t>
        </w:r>
      </w:hyperlink>
    </w:p>
    <w:p w:rsidR="009C3D46" w:rsidRDefault="0022609E">
      <w:pPr>
        <w:pStyle w:val="Normal1"/>
        <w:spacing w:after="0" w:line="240" w:lineRule="auto"/>
        <w:rPr>
          <w:rFonts w:ascii="Arial" w:eastAsia="Arial" w:hAnsi="Arial" w:cs="Arial"/>
          <w:i/>
        </w:rPr>
      </w:pPr>
      <w:r w:rsidRPr="0022609E">
        <w:rPr>
          <w:rFonts w:ascii="Arial" w:eastAsia="Arial" w:hAnsi="Arial" w:cs="Arial"/>
          <w:b/>
          <w:i/>
        </w:rPr>
        <w:t>Co-sponsored by:</w:t>
      </w:r>
      <w:r>
        <w:rPr>
          <w:rFonts w:ascii="Arial" w:eastAsia="Arial" w:hAnsi="Arial" w:cs="Arial"/>
        </w:rPr>
        <w:t xml:space="preserve">  </w:t>
      </w:r>
      <w:hyperlink r:id="rId11">
        <w:r>
          <w:rPr>
            <w:rFonts w:ascii="Arial" w:eastAsia="Arial" w:hAnsi="Arial" w:cs="Arial"/>
            <w:i/>
          </w:rPr>
          <w:t>IFLA Section on Acquisition and Collection Development</w:t>
        </w:r>
      </w:hyperlink>
      <w:r>
        <w:rPr>
          <w:rFonts w:ascii="Arial" w:eastAsia="Arial" w:hAnsi="Arial" w:cs="Arial"/>
          <w:i/>
        </w:rPr>
        <w:t xml:space="preserve"> &amp;</w:t>
      </w:r>
    </w:p>
    <w:p w:rsidR="009C3D46" w:rsidRDefault="0022609E">
      <w:pPr>
        <w:pStyle w:val="Normal1"/>
        <w:spacing w:after="0" w:line="240" w:lineRule="auto"/>
        <w:rPr>
          <w:rFonts w:ascii="Arial" w:eastAsia="Arial" w:hAnsi="Arial" w:cs="Arial"/>
        </w:rPr>
      </w:pPr>
      <w:r>
        <w:rPr>
          <w:rFonts w:ascii="Arial" w:eastAsia="Arial" w:hAnsi="Arial" w:cs="Arial"/>
          <w:i/>
        </w:rPr>
        <w:t xml:space="preserve">                            </w:t>
      </w:r>
      <w:r>
        <w:rPr>
          <w:rFonts w:ascii="Arial" w:eastAsia="Arial" w:hAnsi="Arial" w:cs="Arial"/>
        </w:rPr>
        <w:t xml:space="preserve">the </w:t>
      </w:r>
      <w:r w:rsidRPr="00B831D5">
        <w:rPr>
          <w:rFonts w:ascii="Arial" w:eastAsia="Arial" w:hAnsi="Arial" w:cs="Arial"/>
          <w:i/>
        </w:rPr>
        <w:t>European Solidarity Cen</w:t>
      </w:r>
      <w:r>
        <w:rPr>
          <w:rFonts w:ascii="Arial" w:eastAsia="Arial" w:hAnsi="Arial" w:cs="Arial"/>
          <w:i/>
        </w:rPr>
        <w:t>ter</w:t>
      </w:r>
      <w:r>
        <w:rPr>
          <w:rFonts w:ascii="Arial" w:eastAsia="Arial" w:hAnsi="Arial" w:cs="Arial"/>
          <w:highlight w:val="white"/>
        </w:rPr>
        <w:t xml:space="preserve">, </w:t>
      </w:r>
      <w:proofErr w:type="spellStart"/>
      <w:r>
        <w:rPr>
          <w:rFonts w:ascii="Arial" w:eastAsia="Arial" w:hAnsi="Arial" w:cs="Arial"/>
        </w:rPr>
        <w:t>Gdańsk</w:t>
      </w:r>
      <w:proofErr w:type="spellEnd"/>
      <w:r>
        <w:rPr>
          <w:rFonts w:ascii="Arial" w:eastAsia="Arial" w:hAnsi="Arial" w:cs="Arial"/>
        </w:rPr>
        <w:t xml:space="preserve">, </w:t>
      </w:r>
      <w:r>
        <w:rPr>
          <w:rFonts w:ascii="Arial" w:eastAsia="Arial" w:hAnsi="Arial" w:cs="Arial"/>
          <w:highlight w:val="white"/>
        </w:rPr>
        <w:t>Poland</w:t>
      </w:r>
    </w:p>
    <w:p w:rsidR="009C3D46" w:rsidRDefault="0022609E">
      <w:pPr>
        <w:pStyle w:val="Normal1"/>
        <w:spacing w:after="0" w:line="240" w:lineRule="auto"/>
        <w:rPr>
          <w:rFonts w:ascii="Arial" w:eastAsia="Arial" w:hAnsi="Arial" w:cs="Arial"/>
        </w:rPr>
      </w:pPr>
      <w:r>
        <w:rPr>
          <w:rFonts w:ascii="Arial" w:eastAsia="Arial" w:hAnsi="Arial" w:cs="Arial"/>
          <w:u w:val="single"/>
        </w:rPr>
        <w:t xml:space="preserve">   </w:t>
      </w:r>
    </w:p>
    <w:p w:rsidR="009C3D46" w:rsidRDefault="0022609E">
      <w:pPr>
        <w:pStyle w:val="Normal1"/>
        <w:spacing w:line="240" w:lineRule="auto"/>
        <w:rPr>
          <w:rFonts w:ascii="Arial" w:eastAsia="Arial" w:hAnsi="Arial" w:cs="Arial"/>
        </w:rPr>
      </w:pPr>
      <w:r w:rsidRPr="0022609E">
        <w:rPr>
          <w:rFonts w:ascii="Arial" w:eastAsia="Arial" w:hAnsi="Arial" w:cs="Arial"/>
          <w:b/>
          <w:i/>
        </w:rPr>
        <w:t>Hosted by:</w:t>
      </w:r>
      <w:r>
        <w:rPr>
          <w:rFonts w:ascii="Arial" w:eastAsia="Arial" w:hAnsi="Arial" w:cs="Arial"/>
        </w:rPr>
        <w:t xml:space="preserve"> Joseph Conrad Voivodship and City Public Library in </w:t>
      </w:r>
      <w:proofErr w:type="spellStart"/>
      <w:r>
        <w:rPr>
          <w:rFonts w:ascii="Arial" w:eastAsia="Arial" w:hAnsi="Arial" w:cs="Arial"/>
        </w:rPr>
        <w:t>Gdańsk</w:t>
      </w:r>
      <w:proofErr w:type="spellEnd"/>
      <w:r>
        <w:rPr>
          <w:rFonts w:ascii="Arial" w:eastAsia="Arial" w:hAnsi="Arial" w:cs="Arial"/>
        </w:rPr>
        <w:t>, Poland</w:t>
      </w:r>
    </w:p>
    <w:p w:rsidR="009C3D46" w:rsidRDefault="0022609E">
      <w:pPr>
        <w:pStyle w:val="Normal1"/>
        <w:rPr>
          <w:rFonts w:ascii="Arial" w:eastAsia="Arial" w:hAnsi="Arial" w:cs="Arial"/>
        </w:rPr>
      </w:pPr>
      <w:r w:rsidRPr="0022609E">
        <w:rPr>
          <w:rFonts w:ascii="Arial" w:eastAsia="Arial" w:hAnsi="Arial" w:cs="Arial"/>
          <w:b/>
          <w:i/>
        </w:rPr>
        <w:t>Date:</w:t>
      </w:r>
      <w:r>
        <w:rPr>
          <w:rFonts w:ascii="Arial" w:eastAsia="Arial" w:hAnsi="Arial" w:cs="Arial"/>
        </w:rPr>
        <w:t xml:space="preserve"> 16 August (starting at 12 noon) - 17 August 2017 (9:00 am to 6:00 pm)</w:t>
      </w:r>
    </w:p>
    <w:p w:rsidR="009C3D46" w:rsidRDefault="0022609E">
      <w:pPr>
        <w:pStyle w:val="Normal1"/>
        <w:rPr>
          <w:rFonts w:ascii="Arial" w:eastAsia="Arial" w:hAnsi="Arial" w:cs="Arial"/>
        </w:rPr>
      </w:pPr>
      <w:r w:rsidRPr="0022609E">
        <w:rPr>
          <w:rFonts w:ascii="Arial" w:eastAsia="Arial" w:hAnsi="Arial" w:cs="Arial"/>
          <w:b/>
          <w:i/>
        </w:rPr>
        <w:t>Venue:</w:t>
      </w:r>
      <w:r>
        <w:rPr>
          <w:rFonts w:ascii="Arial" w:eastAsia="Arial" w:hAnsi="Arial" w:cs="Arial"/>
          <w:b/>
        </w:rPr>
        <w:t xml:space="preserve"> </w:t>
      </w:r>
      <w:r>
        <w:rPr>
          <w:rFonts w:ascii="Arial" w:eastAsia="Arial" w:hAnsi="Arial" w:cs="Arial"/>
        </w:rPr>
        <w:t>European Solidarity Cen</w:t>
      </w:r>
      <w:r w:rsidRPr="00B831D5">
        <w:rPr>
          <w:rFonts w:ascii="Arial" w:eastAsia="Arial" w:hAnsi="Arial" w:cs="Arial"/>
        </w:rPr>
        <w:t>ter</w:t>
      </w:r>
      <w:r>
        <w:rPr>
          <w:rFonts w:ascii="Arial" w:eastAsia="Arial" w:hAnsi="Arial" w:cs="Arial"/>
          <w:highlight w:val="white"/>
        </w:rPr>
        <w:t xml:space="preserve">, </w:t>
      </w:r>
      <w:proofErr w:type="spellStart"/>
      <w:r>
        <w:rPr>
          <w:rFonts w:ascii="Arial" w:eastAsia="Arial" w:hAnsi="Arial" w:cs="Arial"/>
        </w:rPr>
        <w:t>Gdańsk</w:t>
      </w:r>
      <w:proofErr w:type="spellEnd"/>
      <w:r>
        <w:rPr>
          <w:rFonts w:ascii="Arial" w:eastAsia="Arial" w:hAnsi="Arial" w:cs="Arial"/>
        </w:rPr>
        <w:t xml:space="preserve">, </w:t>
      </w:r>
      <w:r>
        <w:rPr>
          <w:rFonts w:ascii="Arial" w:eastAsia="Arial" w:hAnsi="Arial" w:cs="Arial"/>
          <w:highlight w:val="white"/>
        </w:rPr>
        <w:t>Poland</w:t>
      </w:r>
    </w:p>
    <w:p w:rsidR="0022609E" w:rsidRDefault="0022609E">
      <w:pPr>
        <w:pStyle w:val="Normal1"/>
        <w:spacing w:line="240" w:lineRule="auto"/>
        <w:rPr>
          <w:rFonts w:ascii="Arial" w:eastAsia="Arial" w:hAnsi="Arial" w:cs="Arial"/>
          <w:b/>
        </w:rPr>
      </w:pPr>
    </w:p>
    <w:p w:rsidR="009C3D46" w:rsidRPr="0022609E" w:rsidRDefault="0022609E">
      <w:pPr>
        <w:pStyle w:val="Normal1"/>
        <w:spacing w:line="240" w:lineRule="auto"/>
        <w:rPr>
          <w:rFonts w:ascii="Arial" w:eastAsia="Arial" w:hAnsi="Arial" w:cs="Arial"/>
          <w:sz w:val="24"/>
          <w:szCs w:val="24"/>
        </w:rPr>
      </w:pPr>
      <w:r w:rsidRPr="0022609E">
        <w:rPr>
          <w:rFonts w:ascii="Arial" w:eastAsia="Arial" w:hAnsi="Arial" w:cs="Arial"/>
          <w:b/>
          <w:sz w:val="24"/>
          <w:szCs w:val="24"/>
        </w:rPr>
        <w:t>Call for Proposals and Papers</w:t>
      </w:r>
      <w:r w:rsidRPr="0022609E">
        <w:rPr>
          <w:rFonts w:ascii="Arial" w:eastAsia="Arial" w:hAnsi="Arial" w:cs="Arial"/>
          <w:sz w:val="24"/>
          <w:szCs w:val="24"/>
        </w:rPr>
        <w:t>:</w:t>
      </w:r>
    </w:p>
    <w:p w:rsidR="009C3D46" w:rsidRDefault="0022609E">
      <w:pPr>
        <w:pStyle w:val="Normal1"/>
        <w:spacing w:line="240" w:lineRule="auto"/>
        <w:rPr>
          <w:rFonts w:ascii="Arial" w:eastAsia="Arial" w:hAnsi="Arial" w:cs="Arial"/>
        </w:rPr>
      </w:pPr>
      <w:r>
        <w:rPr>
          <w:rFonts w:ascii="Arial" w:eastAsia="Arial" w:hAnsi="Arial" w:cs="Arial"/>
        </w:rPr>
        <w:t xml:space="preserve">Open Access (OA) resources are important to the information needs of today’s researchers. Over the years, the number of OA resources has grown substantially and will continue to do so. They are here to stay. This satellite will address how libraries and others are meeting the challenges of Open Access. It will attempt to answer how libraries are staffing and organizing operations to support OA. Another focus will be how libraries identify OA resources and market them to their communities. The satellite will also consider long term preservation of OA resources. </w:t>
      </w:r>
    </w:p>
    <w:p w:rsidR="009C3D46" w:rsidRDefault="0022609E">
      <w:pPr>
        <w:pStyle w:val="Normal1"/>
        <w:rPr>
          <w:rFonts w:ascii="Arial" w:eastAsia="Arial" w:hAnsi="Arial" w:cs="Arial"/>
        </w:rPr>
      </w:pPr>
      <w:r>
        <w:rPr>
          <w:rFonts w:ascii="Arial" w:eastAsia="Arial" w:hAnsi="Arial" w:cs="Arial"/>
        </w:rPr>
        <w:t>The program will be divided into three sessions titled "Long-term preservation of Open Access Resources", "Marketing of Open Access Resources," and "Discovery and Access of Open Access Resources”.</w:t>
      </w:r>
    </w:p>
    <w:p w:rsidR="009C3D46" w:rsidRDefault="0022609E">
      <w:pPr>
        <w:pStyle w:val="Normal1"/>
        <w:rPr>
          <w:rFonts w:ascii="Arial" w:eastAsia="Arial" w:hAnsi="Arial" w:cs="Arial"/>
        </w:rPr>
      </w:pPr>
      <w:r>
        <w:rPr>
          <w:rFonts w:ascii="Arial" w:eastAsia="Arial" w:hAnsi="Arial" w:cs="Arial"/>
          <w:highlight w:val="white"/>
        </w:rPr>
        <w:t>Librarians, information professionals, researchers, editors, and others are invited to submit paper proposals</w:t>
      </w:r>
      <w:r>
        <w:rPr>
          <w:rFonts w:ascii="Arial" w:eastAsia="Arial" w:hAnsi="Arial" w:cs="Arial"/>
        </w:rPr>
        <w:t xml:space="preserve"> addressing topics that relate with one of the three session themes. Examples of such topics include (but are not limited to): </w:t>
      </w:r>
    </w:p>
    <w:p w:rsidR="009C3D46" w:rsidRDefault="0022609E" w:rsidP="0022609E">
      <w:pPr>
        <w:pStyle w:val="Normal1"/>
        <w:ind w:left="720"/>
        <w:rPr>
          <w:rFonts w:ascii="Arial" w:eastAsia="Arial" w:hAnsi="Arial" w:cs="Arial"/>
        </w:rPr>
      </w:pPr>
      <w:r>
        <w:rPr>
          <w:rFonts w:ascii="Arial" w:eastAsia="Arial" w:hAnsi="Arial" w:cs="Arial"/>
        </w:rPr>
        <w:t>Selecting and identifying OA resources</w:t>
      </w:r>
    </w:p>
    <w:p w:rsidR="009C3D46" w:rsidRDefault="0022609E" w:rsidP="0022609E">
      <w:pPr>
        <w:pStyle w:val="Normal1"/>
        <w:ind w:left="720"/>
        <w:rPr>
          <w:rFonts w:ascii="Arial" w:eastAsia="Arial" w:hAnsi="Arial" w:cs="Arial"/>
        </w:rPr>
      </w:pPr>
      <w:r>
        <w:rPr>
          <w:rFonts w:ascii="Arial" w:eastAsia="Arial" w:hAnsi="Arial" w:cs="Arial"/>
        </w:rPr>
        <w:t>Discoverability of OA resources and datasets</w:t>
      </w:r>
    </w:p>
    <w:p w:rsidR="009C3D46" w:rsidRDefault="0022609E" w:rsidP="0022609E">
      <w:pPr>
        <w:pStyle w:val="Normal1"/>
        <w:ind w:left="720"/>
        <w:rPr>
          <w:rFonts w:ascii="Arial" w:eastAsia="Arial" w:hAnsi="Arial" w:cs="Arial"/>
        </w:rPr>
      </w:pPr>
      <w:r>
        <w:rPr>
          <w:rFonts w:ascii="Arial" w:eastAsia="Arial" w:hAnsi="Arial" w:cs="Arial"/>
        </w:rPr>
        <w:t>Best practices for staffing and organizing OA operations</w:t>
      </w:r>
    </w:p>
    <w:p w:rsidR="009C3D46" w:rsidRDefault="0022609E" w:rsidP="0022609E">
      <w:pPr>
        <w:pStyle w:val="Normal1"/>
        <w:ind w:left="720"/>
        <w:rPr>
          <w:rFonts w:ascii="Arial" w:eastAsia="Arial" w:hAnsi="Arial" w:cs="Arial"/>
        </w:rPr>
      </w:pPr>
      <w:r>
        <w:rPr>
          <w:rFonts w:ascii="Arial" w:eastAsia="Arial" w:hAnsi="Arial" w:cs="Arial"/>
        </w:rPr>
        <w:t>Promoting and Marketing OA resources</w:t>
      </w:r>
    </w:p>
    <w:p w:rsidR="009C3D46" w:rsidRDefault="0022609E" w:rsidP="0022609E">
      <w:pPr>
        <w:pStyle w:val="Normal1"/>
        <w:ind w:left="720"/>
        <w:rPr>
          <w:rFonts w:ascii="Arial" w:eastAsia="Arial" w:hAnsi="Arial" w:cs="Arial"/>
        </w:rPr>
      </w:pPr>
      <w:r>
        <w:rPr>
          <w:rFonts w:ascii="Arial" w:eastAsia="Arial" w:hAnsi="Arial" w:cs="Arial"/>
        </w:rPr>
        <w:t>Partnerships between vendors and librarians for OA</w:t>
      </w:r>
    </w:p>
    <w:p w:rsidR="009C3D46" w:rsidRDefault="0022609E" w:rsidP="0022609E">
      <w:pPr>
        <w:pStyle w:val="Normal1"/>
        <w:ind w:left="720"/>
        <w:rPr>
          <w:rFonts w:ascii="Arial" w:eastAsia="Arial" w:hAnsi="Arial" w:cs="Arial"/>
        </w:rPr>
      </w:pPr>
      <w:r>
        <w:rPr>
          <w:rFonts w:ascii="Arial" w:eastAsia="Arial" w:hAnsi="Arial" w:cs="Arial"/>
        </w:rPr>
        <w:t>Institutional Repositories and long term preservation solutions</w:t>
      </w:r>
    </w:p>
    <w:p w:rsidR="00CE16CD" w:rsidRPr="00CE16CD" w:rsidRDefault="00CE16CD" w:rsidP="0022609E">
      <w:pPr>
        <w:pStyle w:val="Normal1"/>
        <w:ind w:left="720"/>
        <w:rPr>
          <w:rFonts w:ascii="Arial" w:eastAsia="Arial" w:hAnsi="Arial" w:cs="Arial"/>
        </w:rPr>
      </w:pPr>
      <w:r w:rsidRPr="00CE16CD">
        <w:rPr>
          <w:rFonts w:ascii="Arial" w:hAnsi="Arial" w:cs="Arial"/>
        </w:rPr>
        <w:t>Recru</w:t>
      </w:r>
      <w:r>
        <w:rPr>
          <w:rFonts w:ascii="Arial" w:hAnsi="Arial" w:cs="Arial"/>
        </w:rPr>
        <w:t>i</w:t>
      </w:r>
      <w:r w:rsidRPr="00CE16CD">
        <w:rPr>
          <w:rFonts w:ascii="Arial" w:hAnsi="Arial" w:cs="Arial"/>
        </w:rPr>
        <w:t>ting authors for OA publishing</w:t>
      </w:r>
    </w:p>
    <w:p w:rsidR="009C3D46" w:rsidRPr="0022609E" w:rsidRDefault="0022609E">
      <w:pPr>
        <w:pStyle w:val="Normal1"/>
        <w:rPr>
          <w:rFonts w:ascii="Arial" w:eastAsia="Arial" w:hAnsi="Arial" w:cs="Arial"/>
          <w:b/>
          <w:sz w:val="24"/>
          <w:szCs w:val="24"/>
        </w:rPr>
      </w:pPr>
      <w:r w:rsidRPr="0022609E">
        <w:rPr>
          <w:rFonts w:ascii="Arial" w:eastAsia="Arial" w:hAnsi="Arial" w:cs="Arial"/>
          <w:b/>
          <w:sz w:val="24"/>
          <w:szCs w:val="24"/>
          <w:highlight w:val="white"/>
        </w:rPr>
        <w:lastRenderedPageBreak/>
        <w:t>Submissions and Selection Process</w:t>
      </w:r>
    </w:p>
    <w:p w:rsidR="009C3D46" w:rsidRDefault="0022609E">
      <w:pPr>
        <w:pStyle w:val="Normal1"/>
        <w:rPr>
          <w:rFonts w:ascii="Arial" w:eastAsia="Arial" w:hAnsi="Arial" w:cs="Arial"/>
        </w:rPr>
      </w:pPr>
      <w:r>
        <w:rPr>
          <w:rFonts w:ascii="Arial" w:eastAsia="Arial" w:hAnsi="Arial" w:cs="Arial"/>
          <w:highlight w:val="white"/>
        </w:rPr>
        <w:t>If you are interested in submitting a paper proposal, please provide the following in English:</w:t>
      </w:r>
    </w:p>
    <w:p w:rsidR="009C3D46" w:rsidRDefault="0022609E">
      <w:pPr>
        <w:pStyle w:val="Normal1"/>
        <w:numPr>
          <w:ilvl w:val="0"/>
          <w:numId w:val="2"/>
        </w:numPr>
        <w:spacing w:after="0" w:line="276" w:lineRule="auto"/>
        <w:ind w:left="940" w:hanging="360"/>
        <w:contextualSpacing/>
      </w:pPr>
      <w:r>
        <w:rPr>
          <w:rFonts w:ascii="Arial" w:eastAsia="Arial" w:hAnsi="Arial" w:cs="Arial"/>
          <w:highlight w:val="white"/>
        </w:rPr>
        <w:t>Name(s) and affiliation(s) of author(s)/presenter(s)</w:t>
      </w:r>
    </w:p>
    <w:p w:rsidR="009C3D46" w:rsidRDefault="0022609E">
      <w:pPr>
        <w:pStyle w:val="Normal1"/>
        <w:numPr>
          <w:ilvl w:val="0"/>
          <w:numId w:val="2"/>
        </w:numPr>
        <w:spacing w:after="0" w:line="276" w:lineRule="auto"/>
        <w:ind w:left="940" w:hanging="360"/>
        <w:contextualSpacing/>
      </w:pPr>
      <w:r>
        <w:rPr>
          <w:rFonts w:ascii="Arial" w:eastAsia="Arial" w:hAnsi="Arial" w:cs="Arial"/>
          <w:highlight w:val="white"/>
        </w:rPr>
        <w:t>Proposed title of the paper</w:t>
      </w:r>
    </w:p>
    <w:p w:rsidR="009C3D46" w:rsidRDefault="0022609E">
      <w:pPr>
        <w:pStyle w:val="Normal1"/>
        <w:numPr>
          <w:ilvl w:val="0"/>
          <w:numId w:val="2"/>
        </w:numPr>
        <w:spacing w:after="0" w:line="276" w:lineRule="auto"/>
        <w:ind w:left="940" w:hanging="360"/>
        <w:contextualSpacing/>
      </w:pPr>
      <w:r>
        <w:rPr>
          <w:rFonts w:ascii="Arial" w:eastAsia="Arial" w:hAnsi="Arial" w:cs="Arial"/>
          <w:highlight w:val="white"/>
        </w:rPr>
        <w:t>Proposed abstract of the paper (no more than 500 words)</w:t>
      </w:r>
    </w:p>
    <w:p w:rsidR="009C3D46" w:rsidRDefault="0022609E">
      <w:pPr>
        <w:pStyle w:val="Normal1"/>
        <w:numPr>
          <w:ilvl w:val="0"/>
          <w:numId w:val="2"/>
        </w:numPr>
        <w:spacing w:after="0" w:line="276" w:lineRule="auto"/>
        <w:ind w:left="940" w:hanging="360"/>
        <w:contextualSpacing/>
      </w:pPr>
      <w:r>
        <w:rPr>
          <w:rFonts w:ascii="Arial" w:eastAsia="Arial" w:hAnsi="Arial" w:cs="Arial"/>
          <w:highlight w:val="white"/>
        </w:rPr>
        <w:t>Brief biographical information of all author(s)/presenter(s)</w:t>
      </w:r>
    </w:p>
    <w:p w:rsidR="009C3D46" w:rsidRDefault="0022609E">
      <w:pPr>
        <w:pStyle w:val="Normal1"/>
        <w:numPr>
          <w:ilvl w:val="0"/>
          <w:numId w:val="2"/>
        </w:numPr>
        <w:spacing w:after="0" w:line="276" w:lineRule="auto"/>
        <w:ind w:left="940" w:hanging="360"/>
        <w:contextualSpacing/>
      </w:pPr>
      <w:r>
        <w:rPr>
          <w:rFonts w:ascii="Arial" w:eastAsia="Arial" w:hAnsi="Arial" w:cs="Arial"/>
          <w:highlight w:val="white"/>
        </w:rPr>
        <w:t>Contact information, including email, of all author(s)/presenter(s)</w:t>
      </w:r>
    </w:p>
    <w:p w:rsidR="009C3D46" w:rsidRDefault="009C3D46">
      <w:pPr>
        <w:pStyle w:val="Normal1"/>
        <w:rPr>
          <w:rFonts w:ascii="Arial" w:eastAsia="Arial" w:hAnsi="Arial" w:cs="Arial"/>
          <w:b/>
          <w:highlight w:val="white"/>
        </w:rPr>
      </w:pPr>
    </w:p>
    <w:p w:rsidR="009C3D46" w:rsidRDefault="0022609E">
      <w:pPr>
        <w:pStyle w:val="Normal1"/>
        <w:rPr>
          <w:rFonts w:ascii="Arial" w:eastAsia="Arial" w:hAnsi="Arial" w:cs="Arial"/>
        </w:rPr>
      </w:pPr>
      <w:r>
        <w:rPr>
          <w:rFonts w:ascii="Arial" w:eastAsia="Arial" w:hAnsi="Arial" w:cs="Arial"/>
          <w:b/>
          <w:highlight w:val="white"/>
        </w:rPr>
        <w:t xml:space="preserve">The deadline for proposal submission is </w:t>
      </w:r>
      <w:r>
        <w:rPr>
          <w:rFonts w:ascii="Arial" w:eastAsia="Arial" w:hAnsi="Arial" w:cs="Arial"/>
          <w:b/>
        </w:rPr>
        <w:t xml:space="preserve">May 1, </w:t>
      </w:r>
      <w:r>
        <w:rPr>
          <w:rFonts w:ascii="Arial" w:eastAsia="Arial" w:hAnsi="Arial" w:cs="Arial"/>
          <w:b/>
          <w:highlight w:val="white"/>
        </w:rPr>
        <w:t>2017.</w:t>
      </w:r>
      <w:r>
        <w:rPr>
          <w:rFonts w:ascii="Arial" w:eastAsia="Arial" w:hAnsi="Arial" w:cs="Arial"/>
          <w:highlight w:val="white"/>
        </w:rPr>
        <w:t xml:space="preserve"> Please email proposals in .PDF or .DOCX format to </w:t>
      </w:r>
      <w:r>
        <w:rPr>
          <w:rFonts w:ascii="Arial" w:eastAsia="Arial" w:hAnsi="Arial" w:cs="Arial"/>
          <w:b/>
        </w:rPr>
        <w:t xml:space="preserve">Meg Mering, Secretary of the </w:t>
      </w:r>
      <w:hyperlink r:id="rId12">
        <w:r>
          <w:rPr>
            <w:rFonts w:ascii="Arial" w:eastAsia="Arial" w:hAnsi="Arial" w:cs="Arial"/>
            <w:b/>
          </w:rPr>
          <w:t>IFLA Section on Serials and Other Continuing Resources</w:t>
        </w:r>
      </w:hyperlink>
      <w:r>
        <w:rPr>
          <w:rFonts w:ascii="Arial" w:eastAsia="Arial" w:hAnsi="Arial" w:cs="Arial"/>
          <w:b/>
        </w:rPr>
        <w:t>, mmering1@unl.edu</w:t>
      </w:r>
    </w:p>
    <w:p w:rsidR="009C3D46" w:rsidRDefault="0022609E">
      <w:pPr>
        <w:pStyle w:val="Normal1"/>
        <w:rPr>
          <w:rFonts w:ascii="Arial" w:eastAsia="Arial" w:hAnsi="Arial" w:cs="Arial"/>
        </w:rPr>
      </w:pPr>
      <w:r>
        <w:rPr>
          <w:rFonts w:ascii="Arial" w:eastAsia="Arial" w:hAnsi="Arial" w:cs="Arial"/>
          <w:highlight w:val="white"/>
        </w:rPr>
        <w:t xml:space="preserve">All proposals will be reviewed by members of the IFLA SOCRS Satellite Conference </w:t>
      </w:r>
      <w:proofErr w:type="spellStart"/>
      <w:r>
        <w:rPr>
          <w:rFonts w:ascii="Arial" w:eastAsia="Arial" w:hAnsi="Arial" w:cs="Arial"/>
          <w:highlight w:val="white"/>
        </w:rPr>
        <w:t>Organising</w:t>
      </w:r>
      <w:proofErr w:type="spellEnd"/>
      <w:r>
        <w:rPr>
          <w:rFonts w:ascii="Arial" w:eastAsia="Arial" w:hAnsi="Arial" w:cs="Arial"/>
          <w:highlight w:val="white"/>
        </w:rPr>
        <w:t xml:space="preserve"> Committee. Selection will be based on proposal content and fit to the conference theme. Proposal authors will be notified via email by </w:t>
      </w:r>
      <w:r>
        <w:rPr>
          <w:rFonts w:ascii="Arial" w:eastAsia="Arial" w:hAnsi="Arial" w:cs="Arial"/>
          <w:b/>
        </w:rPr>
        <w:t>May 15, 2017</w:t>
      </w:r>
      <w:r>
        <w:rPr>
          <w:rFonts w:ascii="Arial" w:eastAsia="Arial" w:hAnsi="Arial" w:cs="Arial"/>
        </w:rPr>
        <w:t>.</w:t>
      </w:r>
    </w:p>
    <w:p w:rsidR="009C3D46" w:rsidRDefault="0022609E">
      <w:pPr>
        <w:pStyle w:val="Normal1"/>
        <w:rPr>
          <w:rFonts w:ascii="Arial" w:eastAsia="Arial" w:hAnsi="Arial" w:cs="Arial"/>
        </w:rPr>
      </w:pPr>
      <w:r>
        <w:rPr>
          <w:rFonts w:ascii="Arial" w:eastAsia="Arial" w:hAnsi="Arial" w:cs="Arial"/>
          <w:highlight w:val="white"/>
        </w:rPr>
        <w:t xml:space="preserve">Authors should submit proposals only if they </w:t>
      </w:r>
      <w:proofErr w:type="gramStart"/>
      <w:r>
        <w:rPr>
          <w:rFonts w:ascii="Arial" w:eastAsia="Arial" w:hAnsi="Arial" w:cs="Arial"/>
          <w:highlight w:val="white"/>
        </w:rPr>
        <w:t>are able to</w:t>
      </w:r>
      <w:proofErr w:type="gramEnd"/>
      <w:r>
        <w:rPr>
          <w:rFonts w:ascii="Arial" w:eastAsia="Arial" w:hAnsi="Arial" w:cs="Arial"/>
          <w:highlight w:val="white"/>
        </w:rPr>
        <w:t xml:space="preserve"> attend the Satellite Conference. At least one author for each accepted paper must attend the Satellite Conference presentation. This requirement ensures that the author(s) of the papers and attendees of the conference </w:t>
      </w:r>
      <w:proofErr w:type="gramStart"/>
      <w:r>
        <w:rPr>
          <w:rFonts w:ascii="Arial" w:eastAsia="Arial" w:hAnsi="Arial" w:cs="Arial"/>
          <w:highlight w:val="white"/>
        </w:rPr>
        <w:t>have the opportunity to</w:t>
      </w:r>
      <w:proofErr w:type="gramEnd"/>
      <w:r>
        <w:rPr>
          <w:rFonts w:ascii="Arial" w:eastAsia="Arial" w:hAnsi="Arial" w:cs="Arial"/>
          <w:highlight w:val="white"/>
        </w:rPr>
        <w:t xml:space="preserve"> engage in thoughtful discussion with colleagues about the presentations and other related topics, leading to a more robust professional experience.</w:t>
      </w:r>
    </w:p>
    <w:p w:rsidR="009C3D46" w:rsidRDefault="0022609E">
      <w:pPr>
        <w:pStyle w:val="Normal1"/>
        <w:rPr>
          <w:rFonts w:ascii="Arial" w:eastAsia="Arial" w:hAnsi="Arial" w:cs="Arial"/>
        </w:rPr>
      </w:pPr>
      <w:bookmarkStart w:id="1" w:name="_gjdgxs" w:colFirst="0" w:colLast="0"/>
      <w:bookmarkEnd w:id="1"/>
      <w:r>
        <w:rPr>
          <w:rFonts w:ascii="Arial" w:eastAsia="Arial" w:hAnsi="Arial" w:cs="Arial"/>
          <w:b/>
          <w:highlight w:val="white"/>
        </w:rPr>
        <w:t xml:space="preserve">The deadline for final papers is </w:t>
      </w:r>
      <w:r>
        <w:rPr>
          <w:rFonts w:ascii="Arial" w:eastAsia="Arial" w:hAnsi="Arial" w:cs="Arial"/>
          <w:b/>
        </w:rPr>
        <w:t xml:space="preserve">July 3, </w:t>
      </w:r>
      <w:r>
        <w:rPr>
          <w:rFonts w:ascii="Arial" w:eastAsia="Arial" w:hAnsi="Arial" w:cs="Arial"/>
          <w:b/>
          <w:highlight w:val="white"/>
        </w:rPr>
        <w:t>2017.</w:t>
      </w:r>
      <w:r>
        <w:rPr>
          <w:rFonts w:ascii="Arial" w:eastAsia="Arial" w:hAnsi="Arial" w:cs="Arial"/>
          <w:highlight w:val="white"/>
        </w:rPr>
        <w:t xml:space="preserve"> Papers should be original work written</w:t>
      </w:r>
      <w:r>
        <w:rPr>
          <w:rFonts w:ascii="Arial" w:eastAsia="Arial" w:hAnsi="Arial" w:cs="Arial"/>
        </w:rPr>
        <w:t xml:space="preserve"> </w:t>
      </w:r>
      <w:r>
        <w:rPr>
          <w:rFonts w:ascii="Arial" w:eastAsia="Arial" w:hAnsi="Arial" w:cs="Arial"/>
          <w:highlight w:val="white"/>
        </w:rPr>
        <w:t xml:space="preserve">in English, not published elsewhere, and should be no longer than </w:t>
      </w:r>
      <w:r w:rsidR="00B831D5" w:rsidRPr="00B831D5">
        <w:rPr>
          <w:rFonts w:ascii="Arial" w:eastAsia="Arial" w:hAnsi="Arial" w:cs="Arial"/>
        </w:rPr>
        <w:t xml:space="preserve">10 </w:t>
      </w:r>
      <w:r>
        <w:rPr>
          <w:rFonts w:ascii="Arial" w:eastAsia="Arial" w:hAnsi="Arial" w:cs="Arial"/>
          <w:highlight w:val="white"/>
        </w:rPr>
        <w:t>double-spaced pages using a standard 12-point font. Authors will be required to present their papers at the IFLA SOCRS Satellite Conference. Presentations should last about 15-20 minutes and time will be allotted afterwards for questions and discussion. Presentations should be engaging, interactive, and designed to elicit thoughtful discussion from the audience. Use of PowerPoint or other visual program is encouraged for the benefit of the entire audience. The official language of the Satellite Conference is English.</w:t>
      </w:r>
    </w:p>
    <w:p w:rsidR="009C3D46" w:rsidRDefault="0022609E">
      <w:pPr>
        <w:pStyle w:val="Normal1"/>
        <w:rPr>
          <w:rFonts w:ascii="Arial" w:eastAsia="Arial" w:hAnsi="Arial" w:cs="Arial"/>
        </w:rPr>
      </w:pPr>
      <w:r>
        <w:rPr>
          <w:rFonts w:ascii="Arial" w:eastAsia="Arial" w:hAnsi="Arial" w:cs="Arial"/>
          <w:highlight w:val="white"/>
        </w:rPr>
        <w:t xml:space="preserve">In accordance with IFLA's Open Access Statement, all papers presented at the Satellite Conference will be available under a </w:t>
      </w:r>
      <w:hyperlink r:id="rId13">
        <w:r>
          <w:rPr>
            <w:rFonts w:ascii="Arial" w:eastAsia="Arial" w:hAnsi="Arial" w:cs="Arial"/>
            <w:highlight w:val="white"/>
            <w:u w:val="single"/>
          </w:rPr>
          <w:t xml:space="preserve">Creative Commons Attribution 4.0 </w:t>
        </w:r>
        <w:proofErr w:type="spellStart"/>
        <w:r>
          <w:rPr>
            <w:rFonts w:ascii="Arial" w:eastAsia="Arial" w:hAnsi="Arial" w:cs="Arial"/>
            <w:highlight w:val="white"/>
            <w:u w:val="single"/>
          </w:rPr>
          <w:t>Unported</w:t>
        </w:r>
        <w:proofErr w:type="spellEnd"/>
        <w:r>
          <w:rPr>
            <w:rFonts w:ascii="Arial" w:eastAsia="Arial" w:hAnsi="Arial" w:cs="Arial"/>
            <w:highlight w:val="white"/>
            <w:u w:val="single"/>
          </w:rPr>
          <w:t xml:space="preserve"> (CC BY 4.0) license</w:t>
        </w:r>
      </w:hyperlink>
      <w:r>
        <w:rPr>
          <w:rFonts w:ascii="Arial" w:eastAsia="Arial" w:hAnsi="Arial" w:cs="Arial"/>
          <w:highlight w:val="white"/>
        </w:rPr>
        <w:t xml:space="preserve">. Authors of accepted papers will need to sign IFLA's author form upon notification. Papers and presentations will be freely available online. </w:t>
      </w:r>
    </w:p>
    <w:p w:rsidR="009C3D46" w:rsidRDefault="009C3D46">
      <w:pPr>
        <w:pStyle w:val="Normal1"/>
        <w:rPr>
          <w:rFonts w:ascii="Arial" w:eastAsia="Arial" w:hAnsi="Arial" w:cs="Arial"/>
        </w:rPr>
      </w:pPr>
    </w:p>
    <w:p w:rsidR="009C3D46" w:rsidRPr="0022609E" w:rsidRDefault="0022609E">
      <w:pPr>
        <w:pStyle w:val="Normal1"/>
        <w:spacing w:line="240" w:lineRule="auto"/>
        <w:rPr>
          <w:rFonts w:ascii="Arial" w:eastAsia="Arial" w:hAnsi="Arial" w:cs="Arial"/>
          <w:b/>
          <w:sz w:val="24"/>
          <w:szCs w:val="24"/>
        </w:rPr>
      </w:pPr>
      <w:r w:rsidRPr="0022609E">
        <w:rPr>
          <w:rFonts w:ascii="Arial" w:eastAsia="Arial" w:hAnsi="Arial" w:cs="Arial"/>
          <w:b/>
          <w:sz w:val="24"/>
          <w:szCs w:val="24"/>
        </w:rPr>
        <w:t>Important Dates</w:t>
      </w:r>
    </w:p>
    <w:p w:rsidR="009C3D46" w:rsidRDefault="0022609E">
      <w:pPr>
        <w:pStyle w:val="Normal1"/>
        <w:numPr>
          <w:ilvl w:val="0"/>
          <w:numId w:val="1"/>
        </w:numPr>
        <w:spacing w:after="0" w:line="240" w:lineRule="auto"/>
        <w:ind w:hanging="360"/>
        <w:contextualSpacing/>
      </w:pPr>
      <w:r>
        <w:rPr>
          <w:rFonts w:ascii="Arial" w:eastAsia="Arial" w:hAnsi="Arial" w:cs="Arial"/>
        </w:rPr>
        <w:t>May 15, 2017: Notification to submitters</w:t>
      </w:r>
    </w:p>
    <w:p w:rsidR="009C3D46" w:rsidRDefault="0022609E">
      <w:pPr>
        <w:pStyle w:val="Normal1"/>
        <w:numPr>
          <w:ilvl w:val="0"/>
          <w:numId w:val="1"/>
        </w:numPr>
        <w:spacing w:after="0" w:line="240" w:lineRule="auto"/>
        <w:ind w:hanging="360"/>
        <w:contextualSpacing/>
      </w:pPr>
      <w:r>
        <w:rPr>
          <w:rFonts w:ascii="Arial" w:eastAsia="Arial" w:hAnsi="Arial" w:cs="Arial"/>
        </w:rPr>
        <w:t>July 3, 2017: Deadline for authors to submit completed papers</w:t>
      </w:r>
    </w:p>
    <w:p w:rsidR="009C3D46" w:rsidRDefault="009C3D46">
      <w:pPr>
        <w:pStyle w:val="Normal1"/>
        <w:spacing w:after="0" w:line="240" w:lineRule="auto"/>
        <w:rPr>
          <w:rFonts w:ascii="Arial" w:eastAsia="Arial" w:hAnsi="Arial" w:cs="Arial"/>
        </w:rPr>
      </w:pPr>
    </w:p>
    <w:p w:rsidR="009C3D46" w:rsidRPr="0022609E" w:rsidRDefault="0022609E">
      <w:pPr>
        <w:pStyle w:val="Normal1"/>
        <w:rPr>
          <w:rFonts w:ascii="Arial" w:eastAsia="Arial" w:hAnsi="Arial" w:cs="Arial"/>
          <w:b/>
          <w:sz w:val="24"/>
          <w:szCs w:val="24"/>
        </w:rPr>
      </w:pPr>
      <w:r w:rsidRPr="0022609E">
        <w:rPr>
          <w:rFonts w:ascii="Arial" w:eastAsia="Arial" w:hAnsi="Arial" w:cs="Arial"/>
          <w:b/>
          <w:sz w:val="24"/>
          <w:szCs w:val="24"/>
          <w:highlight w:val="white"/>
        </w:rPr>
        <w:t>Contact</w:t>
      </w:r>
    </w:p>
    <w:p w:rsidR="009C3D46" w:rsidRDefault="0022609E">
      <w:pPr>
        <w:pStyle w:val="Normal1"/>
        <w:rPr>
          <w:rFonts w:ascii="Arial" w:eastAsia="Arial" w:hAnsi="Arial" w:cs="Arial"/>
          <w:b/>
        </w:rPr>
      </w:pPr>
      <w:r>
        <w:rPr>
          <w:rFonts w:ascii="Arial" w:eastAsia="Arial" w:hAnsi="Arial" w:cs="Arial"/>
          <w:highlight w:val="white"/>
        </w:rPr>
        <w:t xml:space="preserve">For questions about the Call for Papers, please contact </w:t>
      </w:r>
      <w:r>
        <w:rPr>
          <w:rFonts w:ascii="Arial" w:eastAsia="Arial" w:hAnsi="Arial" w:cs="Arial"/>
          <w:b/>
        </w:rPr>
        <w:t xml:space="preserve">Meg Mering, Secretary of the </w:t>
      </w:r>
      <w:hyperlink r:id="rId14">
        <w:r>
          <w:rPr>
            <w:rFonts w:ascii="Arial" w:eastAsia="Arial" w:hAnsi="Arial" w:cs="Arial"/>
            <w:b/>
          </w:rPr>
          <w:t>IFLA Section on Serials and Other Continuing Resources</w:t>
        </w:r>
      </w:hyperlink>
      <w:r>
        <w:rPr>
          <w:rFonts w:ascii="Arial" w:eastAsia="Arial" w:hAnsi="Arial" w:cs="Arial"/>
        </w:rPr>
        <w:t xml:space="preserve">, </w:t>
      </w:r>
      <w:hyperlink r:id="rId15">
        <w:r>
          <w:rPr>
            <w:rFonts w:ascii="Arial" w:eastAsia="Arial" w:hAnsi="Arial" w:cs="Arial"/>
            <w:b/>
          </w:rPr>
          <w:t>mmering1@unl.edu</w:t>
        </w:r>
      </w:hyperlink>
    </w:p>
    <w:p w:rsidR="008857D9" w:rsidRDefault="008857D9">
      <w:pPr>
        <w:pStyle w:val="Normal1"/>
        <w:rPr>
          <w:rFonts w:ascii="Arial" w:eastAsia="Arial" w:hAnsi="Arial" w:cs="Arial"/>
          <w:b/>
        </w:rPr>
      </w:pPr>
    </w:p>
    <w:p w:rsidR="009C3D46" w:rsidRDefault="0022609E">
      <w:pPr>
        <w:pStyle w:val="Normal1"/>
        <w:rPr>
          <w:rFonts w:ascii="Arial" w:eastAsia="Arial" w:hAnsi="Arial" w:cs="Arial"/>
        </w:rPr>
      </w:pPr>
      <w:r>
        <w:rPr>
          <w:rFonts w:ascii="Arial" w:eastAsia="Arial" w:hAnsi="Arial" w:cs="Arial"/>
          <w:highlight w:val="white"/>
        </w:rPr>
        <w:lastRenderedPageBreak/>
        <w:t xml:space="preserve">For issues related to </w:t>
      </w:r>
      <w:proofErr w:type="spellStart"/>
      <w:r>
        <w:rPr>
          <w:rFonts w:ascii="Arial" w:eastAsia="Arial" w:hAnsi="Arial" w:cs="Arial"/>
        </w:rPr>
        <w:t>Gdańsk</w:t>
      </w:r>
      <w:proofErr w:type="spellEnd"/>
      <w:r>
        <w:rPr>
          <w:rFonts w:ascii="Arial" w:eastAsia="Arial" w:hAnsi="Arial" w:cs="Arial"/>
        </w:rPr>
        <w:t xml:space="preserve">, </w:t>
      </w:r>
      <w:r>
        <w:rPr>
          <w:rFonts w:ascii="Arial" w:eastAsia="Arial" w:hAnsi="Arial" w:cs="Arial"/>
          <w:highlight w:val="white"/>
        </w:rPr>
        <w:t xml:space="preserve">Poland, please </w:t>
      </w:r>
      <w:r>
        <w:rPr>
          <w:rFonts w:ascii="Arial" w:eastAsia="Arial" w:hAnsi="Arial" w:cs="Arial"/>
          <w:b/>
          <w:highlight w:val="white"/>
        </w:rPr>
        <w:t xml:space="preserve">contact </w:t>
      </w:r>
      <w:proofErr w:type="spellStart"/>
      <w:r>
        <w:rPr>
          <w:rFonts w:ascii="Arial" w:eastAsia="Arial" w:hAnsi="Arial" w:cs="Arial"/>
          <w:b/>
          <w:highlight w:val="white"/>
        </w:rPr>
        <w:t>Matylda</w:t>
      </w:r>
      <w:proofErr w:type="spellEnd"/>
      <w:r>
        <w:rPr>
          <w:rFonts w:ascii="Arial" w:eastAsia="Arial" w:hAnsi="Arial" w:cs="Arial"/>
          <w:b/>
          <w:highlight w:val="white"/>
        </w:rPr>
        <w:t xml:space="preserve"> </w:t>
      </w:r>
      <w:proofErr w:type="spellStart"/>
      <w:r>
        <w:rPr>
          <w:rFonts w:ascii="Arial" w:eastAsia="Arial" w:hAnsi="Arial" w:cs="Arial"/>
          <w:b/>
          <w:highlight w:val="white"/>
        </w:rPr>
        <w:t>Filas</w:t>
      </w:r>
      <w:proofErr w:type="spellEnd"/>
      <w:r>
        <w:rPr>
          <w:rFonts w:ascii="Arial" w:eastAsia="Arial" w:hAnsi="Arial" w:cs="Arial"/>
          <w:b/>
          <w:highlight w:val="white"/>
        </w:rPr>
        <w:t xml:space="preserve"> or </w:t>
      </w:r>
      <w:proofErr w:type="spellStart"/>
      <w:r>
        <w:rPr>
          <w:rFonts w:ascii="Arial" w:eastAsia="Arial" w:hAnsi="Arial" w:cs="Arial"/>
          <w:b/>
          <w:highlight w:val="white"/>
        </w:rPr>
        <w:t>Zuza</w:t>
      </w:r>
      <w:proofErr w:type="spellEnd"/>
      <w:r>
        <w:rPr>
          <w:rFonts w:ascii="Arial" w:eastAsia="Arial" w:hAnsi="Arial" w:cs="Arial"/>
          <w:b/>
          <w:highlight w:val="white"/>
        </w:rPr>
        <w:t xml:space="preserve"> </w:t>
      </w:r>
      <w:proofErr w:type="spellStart"/>
      <w:r>
        <w:rPr>
          <w:rFonts w:ascii="Arial" w:eastAsia="Arial" w:hAnsi="Arial" w:cs="Arial"/>
          <w:b/>
          <w:highlight w:val="white"/>
        </w:rPr>
        <w:t>Wiorogórska</w:t>
      </w:r>
      <w:proofErr w:type="spellEnd"/>
      <w:r>
        <w:rPr>
          <w:rFonts w:ascii="Arial" w:eastAsia="Arial" w:hAnsi="Arial" w:cs="Arial"/>
          <w:b/>
          <w:highlight w:val="white"/>
        </w:rPr>
        <w:t>, local organizers (</w:t>
      </w:r>
      <w:hyperlink r:id="rId16">
        <w:r>
          <w:rPr>
            <w:rFonts w:ascii="Arial" w:eastAsia="Arial" w:hAnsi="Arial" w:cs="Arial"/>
            <w:b/>
            <w:highlight w:val="white"/>
            <w:u w:val="single"/>
          </w:rPr>
          <w:t>m.filas@uw.edu.pl</w:t>
        </w:r>
      </w:hyperlink>
      <w:r>
        <w:rPr>
          <w:rFonts w:ascii="Arial" w:eastAsia="Arial" w:hAnsi="Arial" w:cs="Arial"/>
          <w:b/>
          <w:highlight w:val="white"/>
        </w:rPr>
        <w:t xml:space="preserve">; </w:t>
      </w:r>
      <w:hyperlink r:id="rId17">
        <w:r>
          <w:rPr>
            <w:rFonts w:ascii="Arial" w:eastAsia="Arial" w:hAnsi="Arial" w:cs="Arial"/>
            <w:b/>
            <w:highlight w:val="white"/>
            <w:u w:val="single"/>
          </w:rPr>
          <w:t>z.d.wiorogorska@uw.edu.pl</w:t>
        </w:r>
      </w:hyperlink>
      <w:r>
        <w:rPr>
          <w:rFonts w:ascii="Arial" w:eastAsia="Arial" w:hAnsi="Arial" w:cs="Arial"/>
          <w:b/>
          <w:highlight w:val="white"/>
        </w:rPr>
        <w:t>).</w:t>
      </w:r>
    </w:p>
    <w:p w:rsidR="009C3D46" w:rsidRDefault="0022609E">
      <w:pPr>
        <w:pStyle w:val="Normal1"/>
        <w:rPr>
          <w:rFonts w:ascii="Arial" w:eastAsia="Arial" w:hAnsi="Arial" w:cs="Arial"/>
          <w:u w:val="single"/>
        </w:rPr>
      </w:pPr>
      <w:r>
        <w:rPr>
          <w:rFonts w:ascii="Arial" w:eastAsia="Arial" w:hAnsi="Arial" w:cs="Arial"/>
          <w:highlight w:val="white"/>
        </w:rPr>
        <w:t xml:space="preserve">Additional information about the IFLA Serials and Other Continuing Resources Section and </w:t>
      </w:r>
      <w:r>
        <w:rPr>
          <w:rFonts w:ascii="Arial" w:eastAsia="Arial" w:hAnsi="Arial" w:cs="Arial"/>
        </w:rPr>
        <w:t xml:space="preserve">the Acquisition and Collection Development Section </w:t>
      </w:r>
      <w:r>
        <w:rPr>
          <w:rFonts w:ascii="Arial" w:eastAsia="Arial" w:hAnsi="Arial" w:cs="Arial"/>
          <w:highlight w:val="white"/>
        </w:rPr>
        <w:t xml:space="preserve">can be found online via the </w:t>
      </w:r>
      <w:hyperlink r:id="rId18">
        <w:r>
          <w:rPr>
            <w:rFonts w:ascii="Arial" w:eastAsia="Arial" w:hAnsi="Arial" w:cs="Arial"/>
            <w:highlight w:val="white"/>
            <w:u w:val="single"/>
          </w:rPr>
          <w:t>Website</w:t>
        </w:r>
      </w:hyperlink>
      <w:r>
        <w:rPr>
          <w:rFonts w:ascii="Arial" w:eastAsia="Arial" w:hAnsi="Arial" w:cs="Arial"/>
          <w:highlight w:val="white"/>
        </w:rPr>
        <w:t xml:space="preserve"> or </w:t>
      </w:r>
      <w:hyperlink r:id="rId19">
        <w:r>
          <w:rPr>
            <w:rFonts w:ascii="Arial" w:eastAsia="Arial" w:hAnsi="Arial" w:cs="Arial"/>
            <w:highlight w:val="white"/>
            <w:u w:val="single"/>
          </w:rPr>
          <w:t>Facebook</w:t>
        </w:r>
      </w:hyperlink>
    </w:p>
    <w:p w:rsidR="0022609E" w:rsidRDefault="0022609E">
      <w:pPr>
        <w:pStyle w:val="Normal1"/>
        <w:rPr>
          <w:rFonts w:ascii="Arial" w:eastAsia="Arial" w:hAnsi="Arial" w:cs="Arial"/>
        </w:rPr>
      </w:pPr>
    </w:p>
    <w:p w:rsidR="009C3D46" w:rsidRPr="0022609E" w:rsidRDefault="0022609E">
      <w:pPr>
        <w:pStyle w:val="Normal1"/>
        <w:rPr>
          <w:rFonts w:ascii="Arial" w:eastAsia="Arial" w:hAnsi="Arial" w:cs="Arial"/>
          <w:sz w:val="24"/>
          <w:szCs w:val="24"/>
        </w:rPr>
      </w:pPr>
      <w:r w:rsidRPr="0022609E">
        <w:rPr>
          <w:rFonts w:ascii="Arial" w:eastAsia="Arial" w:hAnsi="Arial" w:cs="Arial"/>
          <w:b/>
          <w:sz w:val="24"/>
          <w:szCs w:val="24"/>
          <w:highlight w:val="white"/>
        </w:rPr>
        <w:t>Notice</w:t>
      </w:r>
    </w:p>
    <w:p w:rsidR="009C3D46" w:rsidRDefault="0022609E">
      <w:pPr>
        <w:pStyle w:val="Normal1"/>
        <w:spacing w:after="0" w:line="240" w:lineRule="auto"/>
        <w:rPr>
          <w:rFonts w:ascii="Arial" w:eastAsia="Arial" w:hAnsi="Arial" w:cs="Arial"/>
        </w:rPr>
      </w:pPr>
      <w:r>
        <w:rPr>
          <w:rFonts w:ascii="Arial" w:eastAsia="Arial" w:hAnsi="Arial" w:cs="Arial"/>
          <w:highlight w:val="white"/>
        </w:rPr>
        <w:t xml:space="preserve">All expenses are the responsibility of the authors/presenters. No financial support can be provided by IFLA or the IFLA SOCRS and ACD Sections. </w:t>
      </w:r>
    </w:p>
    <w:p w:rsidR="0022609E" w:rsidRDefault="0022609E">
      <w:pPr>
        <w:pStyle w:val="Normal1"/>
        <w:spacing w:after="0" w:line="240" w:lineRule="auto"/>
        <w:rPr>
          <w:rFonts w:ascii="Arial" w:eastAsia="Arial" w:hAnsi="Arial" w:cs="Arial"/>
        </w:rPr>
      </w:pPr>
    </w:p>
    <w:p w:rsidR="009C3D46" w:rsidRDefault="009C3D46">
      <w:pPr>
        <w:pStyle w:val="Normal1"/>
        <w:spacing w:after="0" w:line="240" w:lineRule="auto"/>
        <w:rPr>
          <w:rFonts w:ascii="Arial" w:eastAsia="Arial" w:hAnsi="Arial" w:cs="Arial"/>
        </w:rPr>
      </w:pPr>
    </w:p>
    <w:p w:rsidR="009C3D46" w:rsidRPr="0022609E" w:rsidRDefault="0022609E">
      <w:pPr>
        <w:pStyle w:val="Normal1"/>
        <w:spacing w:line="240" w:lineRule="auto"/>
        <w:rPr>
          <w:rFonts w:ascii="Arial" w:eastAsia="Arial" w:hAnsi="Arial" w:cs="Arial"/>
          <w:sz w:val="24"/>
          <w:szCs w:val="24"/>
        </w:rPr>
      </w:pPr>
      <w:r w:rsidRPr="0022609E">
        <w:rPr>
          <w:rFonts w:ascii="Arial" w:eastAsia="Arial" w:hAnsi="Arial" w:cs="Arial"/>
          <w:b/>
          <w:sz w:val="24"/>
          <w:szCs w:val="24"/>
        </w:rPr>
        <w:t>Satellite Planning &amp; Program Committee</w:t>
      </w:r>
      <w:r w:rsidRPr="0022609E">
        <w:rPr>
          <w:rFonts w:ascii="Arial" w:eastAsia="Arial" w:hAnsi="Arial" w:cs="Arial"/>
          <w:sz w:val="24"/>
          <w:szCs w:val="24"/>
        </w:rPr>
        <w:t xml:space="preserve"> </w:t>
      </w:r>
    </w:p>
    <w:p w:rsidR="009C3D46" w:rsidRDefault="0022609E">
      <w:pPr>
        <w:pStyle w:val="Normal1"/>
        <w:spacing w:after="0" w:line="240" w:lineRule="auto"/>
        <w:rPr>
          <w:rFonts w:ascii="Arial" w:eastAsia="Arial" w:hAnsi="Arial" w:cs="Arial"/>
        </w:rPr>
      </w:pPr>
      <w:r>
        <w:rPr>
          <w:rFonts w:ascii="Arial" w:eastAsia="Arial" w:hAnsi="Arial" w:cs="Arial"/>
        </w:rPr>
        <w:t xml:space="preserve">Sharon </w:t>
      </w:r>
      <w:proofErr w:type="spellStart"/>
      <w:r>
        <w:rPr>
          <w:rFonts w:ascii="Arial" w:eastAsia="Arial" w:hAnsi="Arial" w:cs="Arial"/>
        </w:rPr>
        <w:t>Dyas-Correia</w:t>
      </w:r>
      <w:proofErr w:type="spellEnd"/>
      <w:r>
        <w:rPr>
          <w:rFonts w:ascii="Arial" w:eastAsia="Arial" w:hAnsi="Arial" w:cs="Arial"/>
        </w:rPr>
        <w:t>, Chair, IFLA Section on Serials and Other Continuing Resources</w:t>
      </w:r>
    </w:p>
    <w:p w:rsidR="009C3D46" w:rsidRDefault="0022609E">
      <w:pPr>
        <w:pStyle w:val="Normal1"/>
        <w:spacing w:after="0" w:line="240" w:lineRule="auto"/>
        <w:rPr>
          <w:rFonts w:ascii="Arial" w:eastAsia="Arial" w:hAnsi="Arial" w:cs="Arial"/>
        </w:rPr>
      </w:pPr>
      <w:r>
        <w:rPr>
          <w:rFonts w:ascii="Arial" w:eastAsia="Arial" w:hAnsi="Arial" w:cs="Arial"/>
        </w:rPr>
        <w:t xml:space="preserve">Ann </w:t>
      </w:r>
      <w:proofErr w:type="spellStart"/>
      <w:r>
        <w:rPr>
          <w:rFonts w:ascii="Arial" w:eastAsia="Arial" w:hAnsi="Arial" w:cs="Arial"/>
        </w:rPr>
        <w:t>Okerson</w:t>
      </w:r>
      <w:proofErr w:type="spellEnd"/>
      <w:r>
        <w:rPr>
          <w:rFonts w:ascii="Arial" w:eastAsia="Arial" w:hAnsi="Arial" w:cs="Arial"/>
        </w:rPr>
        <w:t>, Chair, IFLA Section on Acquisition and Collection Development</w:t>
      </w:r>
    </w:p>
    <w:p w:rsidR="009C3D46" w:rsidRDefault="0022609E">
      <w:pPr>
        <w:pStyle w:val="Normal1"/>
        <w:spacing w:after="0" w:line="240" w:lineRule="auto"/>
        <w:rPr>
          <w:rFonts w:ascii="Arial" w:eastAsia="Arial" w:hAnsi="Arial" w:cs="Arial"/>
        </w:rPr>
      </w:pPr>
      <w:r>
        <w:rPr>
          <w:rFonts w:ascii="Arial" w:eastAsia="Arial" w:hAnsi="Arial" w:cs="Arial"/>
          <w:highlight w:val="white"/>
        </w:rPr>
        <w:t xml:space="preserve">Meg Mering, Secretary, </w:t>
      </w:r>
      <w:r>
        <w:rPr>
          <w:rFonts w:ascii="Arial" w:eastAsia="Arial" w:hAnsi="Arial" w:cs="Arial"/>
        </w:rPr>
        <w:t>IFLA Section on Serials and Other Continuing Resources</w:t>
      </w:r>
    </w:p>
    <w:p w:rsidR="009C3D46" w:rsidRDefault="008857D9">
      <w:pPr>
        <w:pStyle w:val="Normal1"/>
        <w:spacing w:after="0" w:line="240" w:lineRule="auto"/>
        <w:rPr>
          <w:rFonts w:ascii="Arial" w:eastAsia="Arial" w:hAnsi="Arial" w:cs="Arial"/>
        </w:rPr>
      </w:pPr>
      <w:r>
        <w:rPr>
          <w:rFonts w:ascii="Arial" w:eastAsia="Arial" w:hAnsi="Arial" w:cs="Arial"/>
        </w:rPr>
        <w:t>Christina McC</w:t>
      </w:r>
      <w:r w:rsidR="0022609E">
        <w:rPr>
          <w:rFonts w:ascii="Arial" w:eastAsia="Arial" w:hAnsi="Arial" w:cs="Arial"/>
        </w:rPr>
        <w:t>awley, Information Coordinator, IFLA Section on Serials and Other Continuing Resources</w:t>
      </w:r>
    </w:p>
    <w:p w:rsidR="009C3D46" w:rsidRDefault="0022609E">
      <w:pPr>
        <w:pStyle w:val="Normal1"/>
        <w:spacing w:after="0" w:line="240" w:lineRule="auto"/>
        <w:rPr>
          <w:rFonts w:ascii="Arial" w:eastAsia="Arial" w:hAnsi="Arial" w:cs="Arial"/>
        </w:rPr>
      </w:pPr>
      <w:proofErr w:type="spellStart"/>
      <w:r>
        <w:rPr>
          <w:rFonts w:ascii="Arial" w:eastAsia="Arial" w:hAnsi="Arial" w:cs="Arial"/>
        </w:rPr>
        <w:t>Sirpa</w:t>
      </w:r>
      <w:proofErr w:type="spellEnd"/>
      <w:r>
        <w:rPr>
          <w:rFonts w:ascii="Arial" w:eastAsia="Arial" w:hAnsi="Arial" w:cs="Arial"/>
        </w:rPr>
        <w:t xml:space="preserve"> </w:t>
      </w:r>
      <w:proofErr w:type="spellStart"/>
      <w:r>
        <w:rPr>
          <w:rFonts w:ascii="Arial" w:eastAsia="Arial" w:hAnsi="Arial" w:cs="Arial"/>
        </w:rPr>
        <w:t>Janhonen</w:t>
      </w:r>
      <w:proofErr w:type="spellEnd"/>
      <w:r>
        <w:rPr>
          <w:rFonts w:ascii="Arial" w:eastAsia="Arial" w:hAnsi="Arial" w:cs="Arial"/>
        </w:rPr>
        <w:t>, Secretary, IFLA Section on Acquisition and Collection Development</w:t>
      </w:r>
    </w:p>
    <w:p w:rsidR="009C3D46" w:rsidRDefault="0022609E">
      <w:pPr>
        <w:pStyle w:val="Normal1"/>
        <w:spacing w:after="0" w:line="240" w:lineRule="auto"/>
        <w:rPr>
          <w:rFonts w:ascii="Arial" w:eastAsia="Arial" w:hAnsi="Arial" w:cs="Arial"/>
        </w:rPr>
      </w:pPr>
      <w:proofErr w:type="spellStart"/>
      <w:r>
        <w:rPr>
          <w:rFonts w:ascii="Arial" w:eastAsia="Arial" w:hAnsi="Arial" w:cs="Arial"/>
        </w:rPr>
        <w:t>Matylda</w:t>
      </w:r>
      <w:proofErr w:type="spellEnd"/>
      <w:r>
        <w:rPr>
          <w:rFonts w:ascii="Arial" w:eastAsia="Arial" w:hAnsi="Arial" w:cs="Arial"/>
        </w:rPr>
        <w:t xml:space="preserve"> </w:t>
      </w:r>
      <w:proofErr w:type="spellStart"/>
      <w:r>
        <w:rPr>
          <w:rFonts w:ascii="Arial" w:eastAsia="Arial" w:hAnsi="Arial" w:cs="Arial"/>
        </w:rPr>
        <w:t>Filas</w:t>
      </w:r>
      <w:proofErr w:type="spellEnd"/>
      <w:r>
        <w:rPr>
          <w:rFonts w:ascii="Arial" w:eastAsia="Arial" w:hAnsi="Arial" w:cs="Arial"/>
        </w:rPr>
        <w:t>, Local Arrangements, University of Warsaw Library, Poland</w:t>
      </w:r>
    </w:p>
    <w:p w:rsidR="009C3D46" w:rsidRDefault="0022609E">
      <w:pPr>
        <w:pStyle w:val="Normal1"/>
        <w:spacing w:after="0" w:line="240" w:lineRule="auto"/>
        <w:rPr>
          <w:rFonts w:ascii="Arial" w:eastAsia="Arial" w:hAnsi="Arial" w:cs="Arial"/>
        </w:rPr>
      </w:pPr>
      <w:proofErr w:type="spellStart"/>
      <w:r>
        <w:rPr>
          <w:rFonts w:ascii="Arial" w:eastAsia="Arial" w:hAnsi="Arial" w:cs="Arial"/>
        </w:rPr>
        <w:t>Zuza</w:t>
      </w:r>
      <w:proofErr w:type="spellEnd"/>
      <w:r>
        <w:rPr>
          <w:rFonts w:ascii="Arial" w:eastAsia="Arial" w:hAnsi="Arial" w:cs="Arial"/>
        </w:rPr>
        <w:t xml:space="preserve"> </w:t>
      </w:r>
      <w:proofErr w:type="spellStart"/>
      <w:r>
        <w:rPr>
          <w:rFonts w:ascii="Arial" w:eastAsia="Arial" w:hAnsi="Arial" w:cs="Arial"/>
        </w:rPr>
        <w:t>Wiorogórska</w:t>
      </w:r>
      <w:proofErr w:type="spellEnd"/>
      <w:r>
        <w:rPr>
          <w:rFonts w:ascii="Arial" w:eastAsia="Arial" w:hAnsi="Arial" w:cs="Arial"/>
        </w:rPr>
        <w:t xml:space="preserve">, Local Arrangements, University of Warsaw Library, Poland </w:t>
      </w:r>
    </w:p>
    <w:p w:rsidR="009C3D46" w:rsidRDefault="0022609E">
      <w:pPr>
        <w:pStyle w:val="Normal1"/>
        <w:spacing w:after="0" w:line="240" w:lineRule="auto"/>
        <w:rPr>
          <w:rFonts w:ascii="Arial" w:eastAsia="Arial" w:hAnsi="Arial" w:cs="Arial"/>
        </w:rPr>
      </w:pPr>
      <w:proofErr w:type="spellStart"/>
      <w:r>
        <w:rPr>
          <w:rFonts w:ascii="Arial" w:eastAsia="Arial" w:hAnsi="Arial" w:cs="Arial"/>
        </w:rPr>
        <w:t>Gaëlle</w:t>
      </w:r>
      <w:proofErr w:type="spellEnd"/>
      <w:r>
        <w:rPr>
          <w:rFonts w:ascii="Arial" w:eastAsia="Arial" w:hAnsi="Arial" w:cs="Arial"/>
        </w:rPr>
        <w:t xml:space="preserve"> </w:t>
      </w:r>
      <w:proofErr w:type="spellStart"/>
      <w:r>
        <w:rPr>
          <w:rFonts w:ascii="Arial" w:eastAsia="Arial" w:hAnsi="Arial" w:cs="Arial"/>
        </w:rPr>
        <w:t>Bequet</w:t>
      </w:r>
      <w:proofErr w:type="spellEnd"/>
      <w:r>
        <w:rPr>
          <w:rFonts w:ascii="Arial" w:eastAsia="Arial" w:hAnsi="Arial" w:cs="Arial"/>
        </w:rPr>
        <w:t>, ISSN International Center, France</w:t>
      </w:r>
    </w:p>
    <w:p w:rsidR="009C3D46" w:rsidRDefault="0022609E">
      <w:pPr>
        <w:pStyle w:val="Normal1"/>
        <w:spacing w:after="0" w:line="240" w:lineRule="auto"/>
        <w:rPr>
          <w:rFonts w:ascii="Arial" w:eastAsia="Arial" w:hAnsi="Arial" w:cs="Arial"/>
        </w:rPr>
      </w:pPr>
      <w:r>
        <w:rPr>
          <w:rFonts w:ascii="Arial" w:eastAsia="Arial" w:hAnsi="Arial" w:cs="Arial"/>
        </w:rPr>
        <w:t>Blanca Rodríguez Bravo, University of Leon, Spain</w:t>
      </w:r>
    </w:p>
    <w:p w:rsidR="009C3D46" w:rsidRDefault="0022609E">
      <w:pPr>
        <w:pStyle w:val="Normal1"/>
        <w:spacing w:after="0" w:line="240" w:lineRule="auto"/>
        <w:rPr>
          <w:rFonts w:ascii="Arial" w:eastAsia="Arial" w:hAnsi="Arial" w:cs="Arial"/>
        </w:rPr>
      </w:pPr>
      <w:proofErr w:type="spellStart"/>
      <w:r>
        <w:rPr>
          <w:rFonts w:ascii="Arial" w:eastAsia="Arial" w:hAnsi="Arial" w:cs="Arial"/>
        </w:rPr>
        <w:t>Smita</w:t>
      </w:r>
      <w:proofErr w:type="spellEnd"/>
      <w:r>
        <w:rPr>
          <w:rFonts w:ascii="Arial" w:eastAsia="Arial" w:hAnsi="Arial" w:cs="Arial"/>
        </w:rPr>
        <w:t xml:space="preserve"> </w:t>
      </w:r>
      <w:proofErr w:type="spellStart"/>
      <w:r>
        <w:rPr>
          <w:rFonts w:ascii="Arial" w:eastAsia="Arial" w:hAnsi="Arial" w:cs="Arial"/>
        </w:rPr>
        <w:t>Joshipure</w:t>
      </w:r>
      <w:proofErr w:type="spellEnd"/>
      <w:r>
        <w:rPr>
          <w:rFonts w:ascii="Arial" w:eastAsia="Arial" w:hAnsi="Arial" w:cs="Arial"/>
        </w:rPr>
        <w:t>, Arizona State University, United States</w:t>
      </w:r>
    </w:p>
    <w:p w:rsidR="009C3D46" w:rsidRDefault="0022609E">
      <w:pPr>
        <w:pStyle w:val="Normal1"/>
        <w:spacing w:after="0" w:line="240" w:lineRule="auto"/>
        <w:rPr>
          <w:rFonts w:ascii="Arial" w:eastAsia="Arial" w:hAnsi="Arial" w:cs="Arial"/>
        </w:rPr>
      </w:pPr>
      <w:r>
        <w:rPr>
          <w:rFonts w:ascii="Arial" w:eastAsia="Arial" w:hAnsi="Arial" w:cs="Arial"/>
        </w:rPr>
        <w:t xml:space="preserve">Beata </w:t>
      </w:r>
      <w:proofErr w:type="spellStart"/>
      <w:r>
        <w:rPr>
          <w:rFonts w:ascii="Arial" w:eastAsia="Arial" w:hAnsi="Arial" w:cs="Arial"/>
        </w:rPr>
        <w:t>Katrincova</w:t>
      </w:r>
      <w:proofErr w:type="spellEnd"/>
      <w:r>
        <w:rPr>
          <w:rFonts w:ascii="Arial" w:eastAsia="Arial" w:hAnsi="Arial" w:cs="Arial"/>
          <w:b/>
        </w:rPr>
        <w:t xml:space="preserve">, </w:t>
      </w:r>
      <w:r>
        <w:rPr>
          <w:rFonts w:ascii="Arial" w:eastAsia="Arial" w:hAnsi="Arial" w:cs="Arial"/>
        </w:rPr>
        <w:t>University Library in Bratislava, Slovakia</w:t>
      </w:r>
    </w:p>
    <w:p w:rsidR="009C3D46" w:rsidRDefault="0022609E">
      <w:pPr>
        <w:pStyle w:val="Normal1"/>
        <w:spacing w:after="0" w:line="240" w:lineRule="auto"/>
        <w:rPr>
          <w:rFonts w:ascii="Arial" w:eastAsia="Arial" w:hAnsi="Arial" w:cs="Arial"/>
        </w:rPr>
      </w:pPr>
      <w:r>
        <w:rPr>
          <w:rFonts w:ascii="Arial" w:eastAsia="Arial" w:hAnsi="Arial" w:cs="Arial"/>
        </w:rPr>
        <w:t xml:space="preserve">J.K. </w:t>
      </w:r>
      <w:proofErr w:type="spellStart"/>
      <w:r>
        <w:rPr>
          <w:rFonts w:ascii="Arial" w:eastAsia="Arial" w:hAnsi="Arial" w:cs="Arial"/>
        </w:rPr>
        <w:t>Vijayakumar</w:t>
      </w:r>
      <w:proofErr w:type="spellEnd"/>
      <w:r>
        <w:rPr>
          <w:rFonts w:ascii="Arial" w:eastAsia="Arial" w:hAnsi="Arial" w:cs="Arial"/>
        </w:rPr>
        <w:t>, King Abdullah University of Science &amp; Technology,</w:t>
      </w:r>
      <w:r>
        <w:rPr>
          <w:rFonts w:ascii="Arial" w:eastAsia="Arial" w:hAnsi="Arial" w:cs="Arial"/>
        </w:rPr>
        <w:br/>
        <w:t>Saudi Arabia</w:t>
      </w:r>
    </w:p>
    <w:p w:rsidR="009C3D46" w:rsidRDefault="0022609E">
      <w:pPr>
        <w:pStyle w:val="Normal1"/>
        <w:spacing w:after="0" w:line="240" w:lineRule="auto"/>
        <w:rPr>
          <w:rFonts w:ascii="Arial" w:eastAsia="Arial" w:hAnsi="Arial" w:cs="Arial"/>
        </w:rPr>
      </w:pPr>
      <w:r>
        <w:rPr>
          <w:rFonts w:ascii="Arial" w:eastAsia="Arial" w:hAnsi="Arial" w:cs="Arial"/>
        </w:rPr>
        <w:t xml:space="preserve">Ted </w:t>
      </w:r>
      <w:proofErr w:type="spellStart"/>
      <w:r>
        <w:rPr>
          <w:rFonts w:ascii="Arial" w:eastAsia="Arial" w:hAnsi="Arial" w:cs="Arial"/>
        </w:rPr>
        <w:t>Westervel</w:t>
      </w:r>
      <w:r>
        <w:rPr>
          <w:rFonts w:ascii="Arial" w:eastAsia="Arial" w:hAnsi="Arial" w:cs="Arial"/>
          <w:b/>
        </w:rPr>
        <w:t>t</w:t>
      </w:r>
      <w:proofErr w:type="spellEnd"/>
      <w:r>
        <w:rPr>
          <w:rFonts w:ascii="Arial" w:eastAsia="Arial" w:hAnsi="Arial" w:cs="Arial"/>
        </w:rPr>
        <w:t>, Library of Congress, United States</w:t>
      </w:r>
    </w:p>
    <w:bookmarkEnd w:id="0"/>
    <w:p w:rsidR="009C3D46" w:rsidRDefault="009C3D46">
      <w:pPr>
        <w:pStyle w:val="Normal1"/>
        <w:rPr>
          <w:rFonts w:ascii="Arial" w:eastAsia="Arial" w:hAnsi="Arial" w:cs="Arial"/>
        </w:rPr>
      </w:pPr>
    </w:p>
    <w:sectPr w:rsidR="009C3D4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03264"/>
    <w:multiLevelType w:val="multilevel"/>
    <w:tmpl w:val="E81AF53C"/>
    <w:lvl w:ilvl="0">
      <w:start w:val="1"/>
      <w:numFmt w:val="bullet"/>
      <w:lvlText w:val="●"/>
      <w:lvlJc w:val="left"/>
      <w:pPr>
        <w:ind w:left="720" w:firstLine="1080"/>
      </w:pPr>
      <w:rPr>
        <w:rFonts w:ascii="Arial" w:eastAsia="Arial" w:hAnsi="Arial" w:cs="Arial"/>
        <w:sz w:val="18"/>
        <w:szCs w:val="18"/>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57CA34B0"/>
    <w:multiLevelType w:val="multilevel"/>
    <w:tmpl w:val="1C8C88D8"/>
    <w:lvl w:ilvl="0">
      <w:start w:val="1"/>
      <w:numFmt w:val="bullet"/>
      <w:lvlText w:val="●"/>
      <w:lvlJc w:val="left"/>
      <w:pPr>
        <w:ind w:left="720" w:firstLine="1080"/>
      </w:pPr>
      <w:rPr>
        <w:rFonts w:ascii="Arial" w:eastAsia="Arial" w:hAnsi="Arial" w:cs="Arial"/>
        <w:color w:val="222222"/>
        <w:sz w:val="19"/>
        <w:szCs w:val="19"/>
        <w:highlight w:val="white"/>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46"/>
    <w:rsid w:val="001B6E93"/>
    <w:rsid w:val="0022609E"/>
    <w:rsid w:val="008857D9"/>
    <w:rsid w:val="009C3D46"/>
    <w:rsid w:val="00B831D5"/>
    <w:rsid w:val="00B953CD"/>
    <w:rsid w:val="00CE16CD"/>
    <w:rsid w:val="00E54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3BA1219-AC5B-4E1D-A185-57038F08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2609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60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la.org/serials-and-continuing-resources" TargetMode="External"/><Relationship Id="rId13" Type="http://schemas.openxmlformats.org/officeDocument/2006/relationships/hyperlink" Target="https://creativecommons.org/licenses/by/4.0/" TargetMode="External"/><Relationship Id="rId18" Type="http://schemas.openxmlformats.org/officeDocument/2006/relationships/hyperlink" Target="http://www.ifla.org/serials-and-continuing-resourc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hyperlink" Target="http://www.ifla.org/serials-and-continuing-resources" TargetMode="External"/><Relationship Id="rId17" Type="http://schemas.openxmlformats.org/officeDocument/2006/relationships/hyperlink" Target="mailto:z.d.wiorogorska@uw.edu.pl" TargetMode="External"/><Relationship Id="rId2" Type="http://schemas.openxmlformats.org/officeDocument/2006/relationships/styles" Target="styles.xml"/><Relationship Id="rId16" Type="http://schemas.openxmlformats.org/officeDocument/2006/relationships/hyperlink" Target="mailto:m.filas@uw.edu.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ifla.org/acquisition-collection-development" TargetMode="External"/><Relationship Id="rId5" Type="http://schemas.openxmlformats.org/officeDocument/2006/relationships/image" Target="media/image1.jpg"/><Relationship Id="rId15" Type="http://schemas.openxmlformats.org/officeDocument/2006/relationships/hyperlink" Target="mailto:mmering1@unl.edu" TargetMode="External"/><Relationship Id="rId10" Type="http://schemas.openxmlformats.org/officeDocument/2006/relationships/hyperlink" Target="http://www.ifla.org/serials-and-continuing-resources" TargetMode="External"/><Relationship Id="rId19" Type="http://schemas.openxmlformats.org/officeDocument/2006/relationships/hyperlink" Target="https://www.facebook.com/IFLASOCRS/?fref=ts" TargetMode="External"/><Relationship Id="rId4" Type="http://schemas.openxmlformats.org/officeDocument/2006/relationships/webSettings" Target="webSettings.xml"/><Relationship Id="rId9" Type="http://schemas.openxmlformats.org/officeDocument/2006/relationships/hyperlink" Target="http://www.ifla.org/serials-and-continuing-resources" TargetMode="External"/><Relationship Id="rId14" Type="http://schemas.openxmlformats.org/officeDocument/2006/relationships/hyperlink" Target="http://www.ifla.org/serials-and-continu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Mering</dc:creator>
  <cp:lastModifiedBy>meg mering</cp:lastModifiedBy>
  <cp:revision>4</cp:revision>
  <cp:lastPrinted>2017-03-17T15:43:00Z</cp:lastPrinted>
  <dcterms:created xsi:type="dcterms:W3CDTF">2017-03-17T16:05:00Z</dcterms:created>
  <dcterms:modified xsi:type="dcterms:W3CDTF">2017-03-20T02:10:00Z</dcterms:modified>
</cp:coreProperties>
</file>